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81" w:rsidRPr="00FA642F" w:rsidRDefault="00FA642F" w:rsidP="000D7881">
      <w:pPr>
        <w:pStyle w:val="Default"/>
        <w:rPr>
          <w:rFonts w:ascii="Century Gothic" w:hAnsi="Century Gothic"/>
          <w:b/>
          <w:bCs/>
          <w:color w:val="1F497D" w:themeColor="text2"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4BE2D2E" wp14:editId="0ED7F9F5">
            <wp:simplePos x="0" y="0"/>
            <wp:positionH relativeFrom="column">
              <wp:posOffset>5749925</wp:posOffset>
            </wp:positionH>
            <wp:positionV relativeFrom="page">
              <wp:posOffset>345440</wp:posOffset>
            </wp:positionV>
            <wp:extent cx="1123950" cy="1587500"/>
            <wp:effectExtent l="0" t="0" r="0" b="0"/>
            <wp:wrapNone/>
            <wp:docPr id="14" name="Picture 2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For All Word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40"/>
          <w:szCs w:val="40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E9CE0FB" wp14:editId="336FC0C5">
            <wp:simplePos x="0" y="0"/>
            <wp:positionH relativeFrom="column">
              <wp:posOffset>-85725</wp:posOffset>
            </wp:positionH>
            <wp:positionV relativeFrom="page">
              <wp:posOffset>350520</wp:posOffset>
            </wp:positionV>
            <wp:extent cx="1993900" cy="901700"/>
            <wp:effectExtent l="0" t="0" r="6350" b="0"/>
            <wp:wrapTopAndBottom/>
            <wp:docPr id="13" name="Picture 1" descr="Art For All Wo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For All Word-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8F" w:rsidRPr="00FA642F">
        <w:rPr>
          <w:rFonts w:ascii="Century Gothic" w:hAnsi="Century Gothic"/>
          <w:b/>
          <w:bCs/>
          <w:color w:val="1F497D" w:themeColor="text2"/>
          <w:sz w:val="40"/>
          <w:szCs w:val="40"/>
        </w:rPr>
        <w:t>Ticketing and s</w:t>
      </w:r>
      <w:r w:rsidR="000D7881" w:rsidRPr="00FA642F">
        <w:rPr>
          <w:rFonts w:ascii="Century Gothic" w:hAnsi="Century Gothic"/>
          <w:b/>
          <w:bCs/>
          <w:color w:val="1F497D" w:themeColor="text2"/>
          <w:sz w:val="40"/>
          <w:szCs w:val="40"/>
        </w:rPr>
        <w:t>eating</w:t>
      </w:r>
      <w:r w:rsidR="00014B65">
        <w:rPr>
          <w:rFonts w:ascii="Century Gothic" w:hAnsi="Century Gothic"/>
          <w:b/>
          <w:bCs/>
          <w:color w:val="1F497D" w:themeColor="text2"/>
          <w:sz w:val="40"/>
          <w:szCs w:val="40"/>
        </w:rPr>
        <w:t>: a</w:t>
      </w:r>
      <w:r w:rsidR="000D7881" w:rsidRPr="00FA642F">
        <w:rPr>
          <w:rFonts w:ascii="Century Gothic" w:hAnsi="Century Gothic"/>
          <w:b/>
          <w:bCs/>
          <w:color w:val="1F497D" w:themeColor="text2"/>
          <w:sz w:val="40"/>
          <w:szCs w:val="40"/>
        </w:rPr>
        <w:t xml:space="preserve"> </w:t>
      </w:r>
      <w:r w:rsidR="004473E3" w:rsidRPr="00FA642F">
        <w:rPr>
          <w:rFonts w:ascii="Century Gothic" w:hAnsi="Century Gothic"/>
          <w:b/>
          <w:bCs/>
          <w:color w:val="1F497D" w:themeColor="text2"/>
          <w:sz w:val="40"/>
          <w:szCs w:val="40"/>
        </w:rPr>
        <w:t>checklist</w:t>
      </w:r>
    </w:p>
    <w:p w:rsidR="00713ED5" w:rsidRDefault="00713ED5" w:rsidP="000D7881">
      <w:pPr>
        <w:pStyle w:val="Default"/>
        <w:rPr>
          <w:rFonts w:ascii="Century Gothic" w:hAnsi="Century Gothic"/>
          <w:sz w:val="22"/>
          <w:szCs w:val="22"/>
        </w:rPr>
      </w:pPr>
    </w:p>
    <w:p w:rsidR="00713ED5" w:rsidRPr="00527C95" w:rsidRDefault="00713ED5" w:rsidP="000D7881">
      <w:pPr>
        <w:pStyle w:val="Default"/>
        <w:rPr>
          <w:rFonts w:ascii="Century Gothic" w:hAnsi="Century Gothic"/>
          <w:sz w:val="8"/>
          <w:szCs w:val="8"/>
        </w:rPr>
      </w:pPr>
    </w:p>
    <w:p w:rsidR="007079E7" w:rsidRDefault="00FA642F" w:rsidP="000D7881">
      <w:pPr>
        <w:pStyle w:val="Default"/>
        <w:rPr>
          <w:rFonts w:ascii="Century Gothic" w:hAnsi="Century Gothic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5D5E0" wp14:editId="1C3AF859">
                <wp:simplePos x="0" y="0"/>
                <wp:positionH relativeFrom="column">
                  <wp:posOffset>5721985</wp:posOffset>
                </wp:positionH>
                <wp:positionV relativeFrom="page">
                  <wp:posOffset>2057400</wp:posOffset>
                </wp:positionV>
                <wp:extent cx="1143635" cy="3352800"/>
                <wp:effectExtent l="0" t="0" r="0" b="0"/>
                <wp:wrapTight wrapText="bothSides">
                  <wp:wrapPolygon edited="0">
                    <wp:start x="0" y="368"/>
                    <wp:lineTo x="0" y="21232"/>
                    <wp:lineTo x="21228" y="21232"/>
                    <wp:lineTo x="21228" y="368"/>
                    <wp:lineTo x="0" y="368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7E3" w:rsidRPr="008E77E3" w:rsidRDefault="008E77E3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t>Arts For All is an Arts Access</w:t>
                            </w:r>
                          </w:p>
                          <w:p w:rsidR="008E77E3" w:rsidRPr="008E77E3" w:rsidRDefault="008E77E3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t xml:space="preserve">Aotearoa/Creative </w:t>
                            </w: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br/>
                              <w:t xml:space="preserve">New Zealand partnership programme. It aims </w:t>
                            </w:r>
                          </w:p>
                          <w:p w:rsidR="008E77E3" w:rsidRPr="008E77E3" w:rsidRDefault="008E77E3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t>to encourage arts</w:t>
                            </w:r>
                          </w:p>
                          <w:p w:rsidR="008E77E3" w:rsidRPr="008E77E3" w:rsidRDefault="00D15CD7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t xml:space="preserve">organisations, venues and producers to improve their </w:t>
                            </w:r>
                          </w:p>
                          <w:p w:rsidR="008E77E3" w:rsidRPr="008E77E3" w:rsidRDefault="008E77E3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2B317F"/>
                                <w:sz w:val="16"/>
                                <w:szCs w:val="16"/>
                              </w:rPr>
                              <w:t>access to disabled audiences.</w:t>
                            </w:r>
                          </w:p>
                          <w:p w:rsidR="008E77E3" w:rsidRPr="008E77E3" w:rsidRDefault="008E77E3" w:rsidP="008E7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17365D"/>
                                <w:sz w:val="16"/>
                                <w:szCs w:val="16"/>
                              </w:rPr>
                              <w:t xml:space="preserve">Download the guide </w:t>
                            </w:r>
                            <w:r w:rsidRPr="008E77E3">
                              <w:rPr>
                                <w:rFonts w:ascii="Century Gothic" w:hAnsi="Century Gothic"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>Arts For All,</w:t>
                            </w:r>
                            <w:r w:rsidRPr="008E77E3">
                              <w:rPr>
                                <w:rFonts w:ascii="Century Gothic" w:hAnsi="Century Gothic" w:cs="Helvetica"/>
                                <w:color w:val="17365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77E3">
                              <w:rPr>
                                <w:rFonts w:ascii="Century Gothic" w:hAnsi="Century Gothic"/>
                                <w:color w:val="17365D"/>
                                <w:sz w:val="16"/>
                                <w:szCs w:val="16"/>
                              </w:rPr>
                              <w:t>published in 2014 by Arts Access Aotearoa, at</w:t>
                            </w:r>
                            <w:r w:rsidRPr="008E77E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8E77E3">
                                <w:rPr>
                                  <w:rStyle w:val="Hyperlink"/>
                                  <w:rFonts w:ascii="Century Gothic" w:hAnsi="Century Gothic" w:cs="Helvetica"/>
                                  <w:sz w:val="16"/>
                                  <w:szCs w:val="16"/>
                                </w:rPr>
                                <w:t>artsaccess.org.nz</w:t>
                              </w:r>
                            </w:hyperlink>
                          </w:p>
                          <w:p w:rsidR="00FA642F" w:rsidRDefault="008E77E3" w:rsidP="00FA6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entury Gothic" w:hAnsi="Century Gothic" w:cs="Helvetica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8E77E3">
                              <w:rPr>
                                <w:rFonts w:ascii="Century Gothic" w:hAnsi="Century Gothic" w:cs="Helvetica"/>
                                <w:color w:val="17365D"/>
                                <w:sz w:val="16"/>
                                <w:szCs w:val="16"/>
                              </w:rPr>
                              <w:t>or call 04 802 4349 for a hard copy.</w:t>
                            </w:r>
                            <w:r w:rsidR="00FA642F">
                              <w:rPr>
                                <w:rFonts w:cs="Helvetica"/>
                                <w:noProof/>
                                <w:color w:val="17365D"/>
                                <w:sz w:val="16"/>
                                <w:szCs w:val="18"/>
                                <w:lang w:eastAsia="en-NZ"/>
                              </w:rPr>
                              <w:drawing>
                                <wp:inline distT="0" distB="0" distL="0" distR="0" wp14:anchorId="43E2809F" wp14:editId="636D2B80">
                                  <wp:extent cx="1104900" cy="276225"/>
                                  <wp:effectExtent l="0" t="0" r="0" b="9525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642F" w:rsidRPr="004473E3" w:rsidRDefault="00FA642F" w:rsidP="00FA642F">
                            <w:pPr>
                              <w:ind w:left="2160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FA642F" w:rsidRPr="00616D9D" w:rsidRDefault="00FA642F" w:rsidP="00FA6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FA642F" w:rsidRPr="004473E3" w:rsidRDefault="00FA642F" w:rsidP="00FA642F">
                            <w:pPr>
                              <w:ind w:left="2160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FA642F" w:rsidRDefault="00FA642F" w:rsidP="00FA6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FA642F" w:rsidRPr="004473E3" w:rsidRDefault="00FA642F" w:rsidP="00FA642F">
                            <w:pPr>
                              <w:ind w:left="2160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:rsidR="00FA642F" w:rsidRPr="00041F65" w:rsidRDefault="00FA642F" w:rsidP="00FA6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FA642F" w:rsidRDefault="00FA642F" w:rsidP="00FA642F"/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.55pt;margin-top:162pt;width:90.0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2n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Oa2On2nE3B66MDNDHAMXXaZ6u5eFt81EnJVU7Flt0rJvma0BHahvelfXB1x&#10;tAXZ9J9kCWHozkgHNFSqtaWDYiBAhy49nTpjqRQ2ZEgms8kUowJsk8k0WgSudz5Njtc7pc0HJltk&#10;FylW0HoHT/f32lg6NDm62GhC5rxpXPsb8eIAHMcTCA5Xrc3ScN18joN4vVgviEei2dojQZZ5t/mK&#10;eLM8nE+zSbZaZeEvGzckSc3Lkgkb5qiskPxZ5w4aHzVx0paWDS8tnKWk1XazahTaU1B27j5XdLCc&#10;3fyXNFwRIJdXKYURCe6i2Mtni7lHcjL14nmw8IIwvotnAYlJlr9M6Z4L9u8poT7F8TSajmo6k36V&#10;W+C+t7nRpOUGZkfD2xSDHOCzTjSxGlyL0q0N5c24viiFpX8uBbT72GinWCvSUa5m2AyAYmW8keUT&#10;aFdJUBYIFAYeLGqpfmLUw/BIsf6xo4ph1HwUVv+WD0wbt4lDQmCjLi2bSwsVBUCl2GA0LldmnFC7&#10;TvFtDZHGFyfkLbyZijs1n1kdXhoMCJfUYZjZCXS5d17nkbv8DQAA//8DAFBLAwQUAAYACAAAACEA&#10;QwiCmuEAAAAMAQAADwAAAGRycy9kb3ducmV2LnhtbEyP3UrEMBCF7wXfIYzgjewmrbrU2uki/sGC&#10;KK4+QNqMbbWZlCbb7b692Su9HObjnO8U69n2YqLRd44RkqUCQVw703GD8PnxtMhA+KDZ6N4xIRzI&#10;w7o8PSl0btye32nahkbEEPa5RmhDGHIpfd2S1X7pBuL4+3Kj1SGeYyPNqPcx3PYyVWolre44NrR6&#10;oPuW6p/tziJcTM68usOjrF6+3zw/P2S80Rni+dl8dwsi0Bz+YDjqR3Uoo1Pldmy86BFuVJJEFOEy&#10;vYqjjoTKkhREhZBdpwpkWcj/I8pfAAAA//8DAFBLAQItABQABgAIAAAAIQC2gziS/gAAAOEBAAAT&#10;AAAAAAAAAAAAAAAAAAAAAABbQ29udGVudF9UeXBlc10ueG1sUEsBAi0AFAAGAAgAAAAhADj9If/W&#10;AAAAlAEAAAsAAAAAAAAAAAAAAAAALwEAAF9yZWxzLy5yZWxzUEsBAi0AFAAGAAgAAAAhAGDGbae3&#10;AgAAugUAAA4AAAAAAAAAAAAAAAAALgIAAGRycy9lMm9Eb2MueG1sUEsBAi0AFAAGAAgAAAAhAEMI&#10;gprhAAAADAEAAA8AAAAAAAAAAAAAAAAAEQUAAGRycy9kb3ducmV2LnhtbFBLBQYAAAAABAAEAPMA&#10;AAAfBgAAAAA=&#10;" filled="f" stroked="f">
                <v:textbox inset=".5mm,7.2pt,.5mm,7.2pt">
                  <w:txbxContent>
                    <w:p w:rsidR="008E77E3" w:rsidRPr="008E77E3" w:rsidRDefault="008E77E3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t>Arts For All is an Arts Access</w:t>
                      </w:r>
                    </w:p>
                    <w:p w:rsidR="008E77E3" w:rsidRPr="008E77E3" w:rsidRDefault="008E77E3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t xml:space="preserve">Aotearoa/Creative </w:t>
                      </w: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br/>
                        <w:t xml:space="preserve">New Zealand partnership programme. It aims </w:t>
                      </w:r>
                    </w:p>
                    <w:p w:rsidR="008E77E3" w:rsidRPr="008E77E3" w:rsidRDefault="008E77E3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t>to encourage arts</w:t>
                      </w:r>
                    </w:p>
                    <w:p w:rsidR="008E77E3" w:rsidRPr="008E77E3" w:rsidRDefault="00D15CD7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t xml:space="preserve">organisations, venues and producers to improve their </w:t>
                      </w:r>
                    </w:p>
                    <w:p w:rsidR="008E77E3" w:rsidRPr="008E77E3" w:rsidRDefault="008E77E3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000000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2B317F"/>
                          <w:sz w:val="16"/>
                          <w:szCs w:val="16"/>
                        </w:rPr>
                        <w:t>access to disabled audiences.</w:t>
                      </w:r>
                    </w:p>
                    <w:p w:rsidR="008E77E3" w:rsidRPr="008E77E3" w:rsidRDefault="008E77E3" w:rsidP="008E77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000000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17365D"/>
                          <w:sz w:val="16"/>
                          <w:szCs w:val="16"/>
                        </w:rPr>
                        <w:t xml:space="preserve">Download the guide </w:t>
                      </w:r>
                      <w:r w:rsidRPr="008E77E3">
                        <w:rPr>
                          <w:rFonts w:ascii="Century Gothic" w:hAnsi="Century Gothic" w:cs="Helvetica"/>
                          <w:i/>
                          <w:color w:val="17365D"/>
                          <w:sz w:val="16"/>
                          <w:szCs w:val="16"/>
                        </w:rPr>
                        <w:t>Arts For All,</w:t>
                      </w:r>
                      <w:r w:rsidRPr="008E77E3">
                        <w:rPr>
                          <w:rFonts w:ascii="Century Gothic" w:hAnsi="Century Gothic" w:cs="Helvetica"/>
                          <w:color w:val="17365D"/>
                          <w:sz w:val="16"/>
                          <w:szCs w:val="16"/>
                        </w:rPr>
                        <w:t xml:space="preserve"> </w:t>
                      </w:r>
                      <w:r w:rsidRPr="008E77E3">
                        <w:rPr>
                          <w:rFonts w:ascii="Century Gothic" w:hAnsi="Century Gothic"/>
                          <w:color w:val="17365D"/>
                          <w:sz w:val="16"/>
                          <w:szCs w:val="16"/>
                        </w:rPr>
                        <w:t>published in 2014 by Arts Access Aotearoa, at</w:t>
                      </w:r>
                      <w:r w:rsidRPr="008E77E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8E77E3">
                          <w:rPr>
                            <w:rStyle w:val="Hyperlink"/>
                            <w:rFonts w:ascii="Century Gothic" w:hAnsi="Century Gothic" w:cs="Helvetica"/>
                            <w:sz w:val="16"/>
                            <w:szCs w:val="16"/>
                          </w:rPr>
                          <w:t>artsaccess.org.nz</w:t>
                        </w:r>
                      </w:hyperlink>
                    </w:p>
                    <w:p w:rsidR="00FA642F" w:rsidRDefault="008E77E3" w:rsidP="00FA6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entury Gothic" w:hAnsi="Century Gothic" w:cs="Helvetica"/>
                          <w:color w:val="17365D"/>
                          <w:sz w:val="16"/>
                          <w:szCs w:val="16"/>
                        </w:rPr>
                      </w:pPr>
                      <w:r w:rsidRPr="008E77E3">
                        <w:rPr>
                          <w:rFonts w:ascii="Century Gothic" w:hAnsi="Century Gothic" w:cs="Helvetica"/>
                          <w:color w:val="17365D"/>
                          <w:sz w:val="16"/>
                          <w:szCs w:val="16"/>
                        </w:rPr>
                        <w:t>or call 04 802 4349 for a hard copy.</w:t>
                      </w:r>
                      <w:r w:rsidR="00FA642F">
                        <w:rPr>
                          <w:rFonts w:cs="Helvetica"/>
                          <w:noProof/>
                          <w:color w:val="17365D"/>
                          <w:sz w:val="16"/>
                          <w:szCs w:val="18"/>
                          <w:lang w:eastAsia="en-NZ"/>
                        </w:rPr>
                        <w:drawing>
                          <wp:inline distT="0" distB="0" distL="0" distR="0" wp14:anchorId="43E2809F" wp14:editId="636D2B80">
                            <wp:extent cx="1104900" cy="276225"/>
                            <wp:effectExtent l="0" t="0" r="0" b="9525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642F" w:rsidRPr="004473E3" w:rsidRDefault="00FA642F" w:rsidP="00FA642F">
                      <w:pPr>
                        <w:ind w:left="2160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:rsidR="00FA642F" w:rsidRPr="00616D9D" w:rsidRDefault="00FA642F" w:rsidP="00FA6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000000"/>
                          <w:sz w:val="16"/>
                          <w:szCs w:val="18"/>
                        </w:rPr>
                      </w:pPr>
                    </w:p>
                    <w:p w:rsidR="00FA642F" w:rsidRPr="004473E3" w:rsidRDefault="00FA642F" w:rsidP="00FA642F">
                      <w:pPr>
                        <w:ind w:left="2160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:rsidR="00FA642F" w:rsidRDefault="00FA642F" w:rsidP="00FA6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FA642F" w:rsidRPr="004473E3" w:rsidRDefault="00FA642F" w:rsidP="00FA642F">
                      <w:pPr>
                        <w:ind w:left="2160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:rsidR="00FA642F" w:rsidRPr="00041F65" w:rsidRDefault="00FA642F" w:rsidP="00FA6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FA642F" w:rsidRDefault="00FA642F" w:rsidP="00FA642F"/>
                  </w:txbxContent>
                </v:textbox>
                <w10:wrap type="tight" anchory="page"/>
              </v:shape>
            </w:pict>
          </mc:Fallback>
        </mc:AlternateContent>
      </w:r>
      <w:r w:rsidR="007079E7">
        <w:rPr>
          <w:rFonts w:ascii="Century Gothic" w:hAnsi="Century Gothic"/>
          <w:sz w:val="22"/>
          <w:szCs w:val="22"/>
        </w:rPr>
        <w:t xml:space="preserve">Ticketing and seating </w:t>
      </w:r>
      <w:r w:rsidR="007079E7" w:rsidRPr="002A5193">
        <w:rPr>
          <w:rFonts w:ascii="Century Gothic" w:hAnsi="Century Gothic"/>
          <w:sz w:val="22"/>
          <w:szCs w:val="22"/>
        </w:rPr>
        <w:t>procedures affect an audience member’s experience of arts event</w:t>
      </w:r>
      <w:r w:rsidR="007079E7">
        <w:rPr>
          <w:rFonts w:ascii="Century Gothic" w:hAnsi="Century Gothic"/>
          <w:sz w:val="22"/>
          <w:szCs w:val="22"/>
        </w:rPr>
        <w:t>s</w:t>
      </w:r>
      <w:r w:rsidR="007079E7" w:rsidRPr="002A5193">
        <w:rPr>
          <w:rFonts w:ascii="Century Gothic" w:hAnsi="Century Gothic"/>
          <w:sz w:val="22"/>
          <w:szCs w:val="22"/>
        </w:rPr>
        <w:t xml:space="preserve">: for example, </w:t>
      </w:r>
      <w:r w:rsidR="007079E7">
        <w:rPr>
          <w:rFonts w:ascii="Century Gothic" w:hAnsi="Century Gothic"/>
          <w:sz w:val="22"/>
          <w:szCs w:val="22"/>
        </w:rPr>
        <w:t>the flexibility of a seating</w:t>
      </w:r>
      <w:r w:rsidR="007079E7" w:rsidRPr="002A5193">
        <w:rPr>
          <w:rFonts w:ascii="Century Gothic" w:hAnsi="Century Gothic"/>
          <w:sz w:val="22"/>
          <w:szCs w:val="22"/>
        </w:rPr>
        <w:t xml:space="preserve"> policy; the response people get when the</w:t>
      </w:r>
      <w:r w:rsidR="007079E7">
        <w:rPr>
          <w:rFonts w:ascii="Century Gothic" w:hAnsi="Century Gothic"/>
          <w:sz w:val="22"/>
          <w:szCs w:val="22"/>
        </w:rPr>
        <w:t>y</w:t>
      </w:r>
      <w:r w:rsidR="007079E7" w:rsidRPr="002A5193">
        <w:rPr>
          <w:rFonts w:ascii="Century Gothic" w:hAnsi="Century Gothic"/>
          <w:sz w:val="22"/>
          <w:szCs w:val="22"/>
        </w:rPr>
        <w:t xml:space="preserve"> phone </w:t>
      </w:r>
      <w:r w:rsidR="007079E7">
        <w:rPr>
          <w:rFonts w:ascii="Century Gothic" w:hAnsi="Century Gothic"/>
          <w:sz w:val="22"/>
          <w:szCs w:val="22"/>
        </w:rPr>
        <w:t>to enquire about accessible seats</w:t>
      </w:r>
      <w:r w:rsidR="007079E7" w:rsidRPr="002A5193">
        <w:rPr>
          <w:rFonts w:ascii="Century Gothic" w:hAnsi="Century Gothic"/>
          <w:sz w:val="22"/>
          <w:szCs w:val="22"/>
        </w:rPr>
        <w:t xml:space="preserve">; </w:t>
      </w:r>
      <w:r w:rsidR="007079E7">
        <w:rPr>
          <w:rFonts w:ascii="Century Gothic" w:hAnsi="Century Gothic"/>
          <w:sz w:val="22"/>
          <w:szCs w:val="22"/>
        </w:rPr>
        <w:t xml:space="preserve">and the </w:t>
      </w:r>
      <w:r w:rsidR="005128FD">
        <w:rPr>
          <w:rFonts w:ascii="Century Gothic" w:hAnsi="Century Gothic"/>
          <w:sz w:val="22"/>
          <w:szCs w:val="22"/>
        </w:rPr>
        <w:t>systems for booking accessible seats</w:t>
      </w:r>
      <w:r w:rsidR="007079E7" w:rsidRPr="002A5193">
        <w:rPr>
          <w:rFonts w:ascii="Century Gothic" w:hAnsi="Century Gothic"/>
          <w:sz w:val="22"/>
          <w:szCs w:val="22"/>
        </w:rPr>
        <w:t>.</w:t>
      </w:r>
    </w:p>
    <w:p w:rsidR="00527C95" w:rsidRDefault="00527C95" w:rsidP="000D7881">
      <w:pPr>
        <w:pStyle w:val="Default"/>
        <w:rPr>
          <w:rFonts w:ascii="Century Gothic" w:hAnsi="Century Gothic"/>
          <w:b/>
          <w:bCs/>
          <w:sz w:val="26"/>
          <w:szCs w:val="26"/>
        </w:rPr>
      </w:pPr>
    </w:p>
    <w:p w:rsidR="007079E7" w:rsidRDefault="00483386" w:rsidP="000D7881">
      <w:pPr>
        <w:pStyle w:val="Default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Pricing</w:t>
      </w:r>
      <w:r w:rsidR="00DE388F">
        <w:rPr>
          <w:rFonts w:ascii="Century Gothic" w:hAnsi="Century Gothic"/>
          <w:b/>
          <w:bCs/>
          <w:sz w:val="26"/>
          <w:szCs w:val="26"/>
        </w:rPr>
        <w:t xml:space="preserve"> p</w:t>
      </w:r>
      <w:r w:rsidR="007079E7">
        <w:rPr>
          <w:rFonts w:ascii="Century Gothic" w:hAnsi="Century Gothic"/>
          <w:b/>
          <w:bCs/>
          <w:sz w:val="26"/>
          <w:szCs w:val="26"/>
        </w:rPr>
        <w:t>olicies</w:t>
      </w:r>
    </w:p>
    <w:p w:rsidR="007079E7" w:rsidRDefault="007079E7" w:rsidP="000D7881">
      <w:pPr>
        <w:pStyle w:val="Defaul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There are arguments for and against offering discounted tickets. </w:t>
      </w:r>
      <w:r w:rsidR="00845AA8" w:rsidRPr="00845AA8">
        <w:rPr>
          <w:rFonts w:ascii="Century Gothic" w:hAnsi="Century Gothic"/>
          <w:bCs/>
          <w:i/>
          <w:sz w:val="22"/>
          <w:szCs w:val="22"/>
        </w:rPr>
        <w:t>Arts For All</w:t>
      </w:r>
      <w:r w:rsidR="00845AA8">
        <w:rPr>
          <w:rFonts w:ascii="Century Gothic" w:hAnsi="Century Gothic"/>
          <w:bCs/>
          <w:sz w:val="22"/>
          <w:szCs w:val="22"/>
        </w:rPr>
        <w:t xml:space="preserve"> (page 33) lists some arguments for and against discounted tickets. </w:t>
      </w:r>
      <w:r>
        <w:rPr>
          <w:rFonts w:ascii="Century Gothic" w:hAnsi="Century Gothic"/>
          <w:bCs/>
          <w:sz w:val="22"/>
          <w:szCs w:val="22"/>
        </w:rPr>
        <w:t>Considering the</w:t>
      </w:r>
      <w:r w:rsidR="008122D3">
        <w:rPr>
          <w:rFonts w:ascii="Century Gothic" w:hAnsi="Century Gothic"/>
          <w:bCs/>
          <w:sz w:val="22"/>
          <w:szCs w:val="22"/>
        </w:rPr>
        <w:t>se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122D3">
        <w:rPr>
          <w:rFonts w:ascii="Century Gothic" w:hAnsi="Century Gothic"/>
          <w:bCs/>
          <w:sz w:val="22"/>
          <w:szCs w:val="22"/>
        </w:rPr>
        <w:t xml:space="preserve">different </w:t>
      </w:r>
      <w:r>
        <w:rPr>
          <w:rFonts w:ascii="Century Gothic" w:hAnsi="Century Gothic"/>
          <w:bCs/>
          <w:sz w:val="22"/>
          <w:szCs w:val="22"/>
        </w:rPr>
        <w:t xml:space="preserve">perspectives will </w:t>
      </w:r>
      <w:r w:rsidR="00DE388F">
        <w:rPr>
          <w:rFonts w:ascii="Century Gothic" w:hAnsi="Century Gothic"/>
          <w:bCs/>
          <w:sz w:val="22"/>
          <w:szCs w:val="22"/>
        </w:rPr>
        <w:t xml:space="preserve">help you </w:t>
      </w:r>
      <w:r>
        <w:rPr>
          <w:rFonts w:ascii="Century Gothic" w:hAnsi="Century Gothic"/>
          <w:bCs/>
          <w:sz w:val="22"/>
          <w:szCs w:val="22"/>
        </w:rPr>
        <w:t xml:space="preserve">develop a ticketing policy. </w:t>
      </w:r>
      <w:r w:rsidR="008122D3">
        <w:rPr>
          <w:rFonts w:ascii="Century Gothic" w:hAnsi="Century Gothic"/>
          <w:bCs/>
          <w:sz w:val="22"/>
          <w:szCs w:val="22"/>
        </w:rPr>
        <w:t>For example:</w:t>
      </w:r>
    </w:p>
    <w:p w:rsidR="007079E7" w:rsidRPr="002A5193" w:rsidRDefault="007079E7" w:rsidP="007079E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A5193">
        <w:rPr>
          <w:rFonts w:ascii="Century Gothic" w:hAnsi="Century Gothic"/>
          <w:sz w:val="22"/>
          <w:szCs w:val="22"/>
        </w:rPr>
        <w:t>Disabled people often have low incomes and high living costs.</w:t>
      </w:r>
    </w:p>
    <w:p w:rsidR="007079E7" w:rsidRDefault="007079E7" w:rsidP="007079E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A5193">
        <w:rPr>
          <w:rFonts w:ascii="Century Gothic" w:hAnsi="Century Gothic"/>
          <w:sz w:val="22"/>
          <w:szCs w:val="22"/>
        </w:rPr>
        <w:t xml:space="preserve">Disabled people often </w:t>
      </w:r>
      <w:r>
        <w:rPr>
          <w:rFonts w:ascii="Century Gothic" w:hAnsi="Century Gothic"/>
          <w:sz w:val="22"/>
          <w:szCs w:val="22"/>
        </w:rPr>
        <w:t xml:space="preserve">need </w:t>
      </w:r>
      <w:r w:rsidRPr="002A5193">
        <w:rPr>
          <w:rFonts w:ascii="Century Gothic" w:hAnsi="Century Gothic"/>
          <w:sz w:val="22"/>
          <w:szCs w:val="22"/>
        </w:rPr>
        <w:t>to bring a companion to an arts event and pay for that person’s ticket</w:t>
      </w:r>
      <w:r>
        <w:rPr>
          <w:rFonts w:ascii="Century Gothic" w:hAnsi="Century Gothic"/>
          <w:sz w:val="22"/>
          <w:szCs w:val="22"/>
        </w:rPr>
        <w:t xml:space="preserve"> as well as their own ticket</w:t>
      </w:r>
      <w:r w:rsidRPr="002A519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7B75" w:rsidRPr="00340B35" w:rsidRDefault="00340B35" w:rsidP="00FD7B7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340B35">
        <w:rPr>
          <w:rFonts w:ascii="Century Gothic" w:hAnsi="Century Gothic"/>
          <w:sz w:val="22"/>
          <w:szCs w:val="22"/>
        </w:rPr>
        <w:t>Disabled people sometimes have to buy a more expensive ticket: e.g. a Deaf person may need a seat in a premium front row to see the New Zealand Sign Language interpreter.</w:t>
      </w:r>
    </w:p>
    <w:p w:rsidR="007079E7" w:rsidRDefault="007079E7" w:rsidP="007079E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2A5193">
        <w:rPr>
          <w:rFonts w:ascii="Century Gothic" w:hAnsi="Century Gothic"/>
          <w:sz w:val="22"/>
          <w:szCs w:val="22"/>
        </w:rPr>
        <w:t>Offering discounted tickets for disabled people</w:t>
      </w:r>
      <w:r>
        <w:rPr>
          <w:rFonts w:ascii="Century Gothic" w:hAnsi="Century Gothic"/>
          <w:sz w:val="22"/>
          <w:szCs w:val="22"/>
        </w:rPr>
        <w:t xml:space="preserve"> </w:t>
      </w:r>
      <w:r w:rsidRPr="002A5193">
        <w:rPr>
          <w:rFonts w:ascii="Century Gothic" w:hAnsi="Century Gothic"/>
          <w:sz w:val="22"/>
          <w:szCs w:val="22"/>
        </w:rPr>
        <w:t>means they are not being treated equally. If disabled people are unwaged or senior citizens</w:t>
      </w:r>
      <w:smartTag w:uri="urn:schemas-microsoft-com:office:smarttags" w:element="PersonName">
        <w:r w:rsidRPr="002A5193">
          <w:rPr>
            <w:rFonts w:ascii="Century Gothic" w:hAnsi="Century Gothic"/>
            <w:sz w:val="22"/>
            <w:szCs w:val="22"/>
          </w:rPr>
          <w:t>,</w:t>
        </w:r>
      </w:smartTag>
      <w:r w:rsidRPr="002A5193">
        <w:rPr>
          <w:rFonts w:ascii="Century Gothic" w:hAnsi="Century Gothic"/>
          <w:sz w:val="22"/>
          <w:szCs w:val="22"/>
        </w:rPr>
        <w:t xml:space="preserve"> they can claim these discounts. If they are employed</w:t>
      </w:r>
      <w:smartTag w:uri="urn:schemas-microsoft-com:office:smarttags" w:element="PersonName">
        <w:r w:rsidRPr="002A5193">
          <w:rPr>
            <w:rFonts w:ascii="Century Gothic" w:hAnsi="Century Gothic"/>
            <w:sz w:val="22"/>
            <w:szCs w:val="22"/>
          </w:rPr>
          <w:t>,</w:t>
        </w:r>
      </w:smartTag>
      <w:r w:rsidRPr="002A5193">
        <w:rPr>
          <w:rFonts w:ascii="Century Gothic" w:hAnsi="Century Gothic"/>
          <w:sz w:val="22"/>
          <w:szCs w:val="22"/>
        </w:rPr>
        <w:t xml:space="preserve"> they should pay the same price as anyone else.</w:t>
      </w:r>
    </w:p>
    <w:p w:rsidR="007079E7" w:rsidRPr="002A5193" w:rsidRDefault="007079E7" w:rsidP="007079E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may cause issues </w:t>
      </w:r>
      <w:r w:rsidRPr="002A5193">
        <w:rPr>
          <w:rFonts w:ascii="Century Gothic" w:hAnsi="Century Gothic"/>
          <w:sz w:val="22"/>
          <w:szCs w:val="22"/>
        </w:rPr>
        <w:t>decid</w:t>
      </w:r>
      <w:r>
        <w:rPr>
          <w:rFonts w:ascii="Century Gothic" w:hAnsi="Century Gothic"/>
          <w:sz w:val="22"/>
          <w:szCs w:val="22"/>
        </w:rPr>
        <w:t>ing</w:t>
      </w:r>
      <w:r w:rsidRPr="002A51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who </w:t>
      </w:r>
      <w:r w:rsidRPr="002A5193">
        <w:rPr>
          <w:rFonts w:ascii="Century Gothic" w:hAnsi="Century Gothic"/>
          <w:sz w:val="22"/>
          <w:szCs w:val="22"/>
        </w:rPr>
        <w:t>qualifies for a discount</w:t>
      </w:r>
      <w:r w:rsidR="002D01E0">
        <w:rPr>
          <w:rFonts w:ascii="Century Gothic" w:hAnsi="Century Gothic"/>
          <w:sz w:val="22"/>
          <w:szCs w:val="22"/>
        </w:rPr>
        <w:t>: e.g. s</w:t>
      </w:r>
      <w:r w:rsidR="002D618D">
        <w:rPr>
          <w:rFonts w:ascii="Century Gothic" w:hAnsi="Century Gothic"/>
          <w:sz w:val="22"/>
          <w:szCs w:val="22"/>
        </w:rPr>
        <w:t>tudents</w:t>
      </w:r>
      <w:r w:rsidR="00DE388F">
        <w:rPr>
          <w:rFonts w:ascii="Century Gothic" w:hAnsi="Century Gothic"/>
          <w:sz w:val="22"/>
          <w:szCs w:val="22"/>
        </w:rPr>
        <w:t xml:space="preserve"> must show a current student ID but</w:t>
      </w:r>
      <w:r w:rsidR="002D618D">
        <w:rPr>
          <w:rFonts w:ascii="Century Gothic" w:hAnsi="Century Gothic"/>
          <w:sz w:val="22"/>
          <w:szCs w:val="22"/>
        </w:rPr>
        <w:t xml:space="preserve"> how do you request proof of disability</w:t>
      </w:r>
      <w:smartTag w:uri="urn:schemas-microsoft-com:office:smarttags" w:element="PersonName">
        <w:r w:rsidR="002D618D">
          <w:rPr>
            <w:rFonts w:ascii="Century Gothic" w:hAnsi="Century Gothic"/>
            <w:sz w:val="22"/>
            <w:szCs w:val="22"/>
          </w:rPr>
          <w:t>,</w:t>
        </w:r>
      </w:smartTag>
      <w:r w:rsidR="002D618D">
        <w:rPr>
          <w:rFonts w:ascii="Century Gothic" w:hAnsi="Century Gothic"/>
          <w:sz w:val="22"/>
          <w:szCs w:val="22"/>
        </w:rPr>
        <w:t xml:space="preserve"> especially if s</w:t>
      </w:r>
      <w:r w:rsidR="00DE388F">
        <w:rPr>
          <w:rFonts w:ascii="Century Gothic" w:hAnsi="Century Gothic"/>
          <w:sz w:val="22"/>
          <w:szCs w:val="22"/>
        </w:rPr>
        <w:t>omeone has a hidden impairment?</w:t>
      </w:r>
    </w:p>
    <w:p w:rsidR="007079E7" w:rsidRDefault="007079E7" w:rsidP="000D7881">
      <w:pPr>
        <w:pStyle w:val="Default"/>
        <w:rPr>
          <w:rFonts w:ascii="Century Gothic" w:hAnsi="Century Gothic"/>
          <w:bCs/>
          <w:sz w:val="22"/>
          <w:szCs w:val="22"/>
        </w:rPr>
      </w:pPr>
    </w:p>
    <w:p w:rsidR="002D618D" w:rsidRDefault="002D618D" w:rsidP="002D618D">
      <w:pPr>
        <w:rPr>
          <w:rFonts w:ascii="Century Gothic" w:hAnsi="Century Gothic"/>
          <w:sz w:val="22"/>
          <w:szCs w:val="22"/>
        </w:rPr>
      </w:pPr>
      <w:r w:rsidRPr="002A5193">
        <w:rPr>
          <w:rFonts w:ascii="Century Gothic" w:hAnsi="Century Gothic"/>
          <w:sz w:val="22"/>
          <w:szCs w:val="22"/>
        </w:rPr>
        <w:t xml:space="preserve">Arts organisations need to </w:t>
      </w:r>
      <w:r>
        <w:rPr>
          <w:rFonts w:ascii="Century Gothic" w:hAnsi="Century Gothic"/>
          <w:sz w:val="22"/>
          <w:szCs w:val="22"/>
        </w:rPr>
        <w:t xml:space="preserve">cover costs </w:t>
      </w:r>
      <w:r w:rsidRPr="002A5193">
        <w:rPr>
          <w:rFonts w:ascii="Century Gothic" w:hAnsi="Century Gothic"/>
          <w:sz w:val="22"/>
          <w:szCs w:val="22"/>
        </w:rPr>
        <w:t xml:space="preserve">and the idea of reducing the </w:t>
      </w:r>
      <w:r>
        <w:rPr>
          <w:rFonts w:ascii="Century Gothic" w:hAnsi="Century Gothic"/>
          <w:sz w:val="22"/>
          <w:szCs w:val="22"/>
        </w:rPr>
        <w:t xml:space="preserve">price </w:t>
      </w:r>
      <w:r w:rsidRPr="002A5193">
        <w:rPr>
          <w:rFonts w:ascii="Century Gothic" w:hAnsi="Century Gothic"/>
          <w:sz w:val="22"/>
          <w:szCs w:val="22"/>
        </w:rPr>
        <w:t xml:space="preserve">of tickets or providing a free ticket for companions may have little appeal. But </w:t>
      </w:r>
    </w:p>
    <w:p w:rsidR="002D618D" w:rsidRDefault="002D618D" w:rsidP="002D618D">
      <w:pPr>
        <w:rPr>
          <w:rFonts w:ascii="Century Gothic" w:hAnsi="Century Gothic"/>
          <w:sz w:val="22"/>
          <w:szCs w:val="22"/>
        </w:rPr>
      </w:pPr>
      <w:r w:rsidRPr="002A5193">
        <w:rPr>
          <w:rFonts w:ascii="Century Gothic" w:hAnsi="Century Gothic"/>
          <w:sz w:val="22"/>
          <w:szCs w:val="22"/>
        </w:rPr>
        <w:t>think about ticket pricing and discounts as a marketing tool – a way to reduce barriers</w:t>
      </w:r>
      <w:smartTag w:uri="urn:schemas-microsoft-com:office:smarttags" w:element="PersonName">
        <w:r w:rsidRPr="002A5193">
          <w:rPr>
            <w:rFonts w:ascii="Century Gothic" w:hAnsi="Century Gothic"/>
            <w:sz w:val="22"/>
            <w:szCs w:val="22"/>
          </w:rPr>
          <w:t>,</w:t>
        </w:r>
      </w:smartTag>
      <w:r w:rsidRPr="002A5193">
        <w:rPr>
          <w:rFonts w:ascii="Century Gothic" w:hAnsi="Century Gothic"/>
          <w:sz w:val="22"/>
          <w:szCs w:val="22"/>
        </w:rPr>
        <w:t xml:space="preserve"> attract disabled people</w:t>
      </w:r>
      <w:smartTag w:uri="urn:schemas-microsoft-com:office:smarttags" w:element="PersonName">
        <w:r>
          <w:rPr>
            <w:rFonts w:ascii="Century Gothic" w:hAnsi="Century Gothic"/>
            <w:sz w:val="22"/>
            <w:szCs w:val="22"/>
          </w:rPr>
          <w:t>,</w:t>
        </w:r>
      </w:smartTag>
      <w:r w:rsidRPr="002A5193">
        <w:rPr>
          <w:rFonts w:ascii="Century Gothic" w:hAnsi="Century Gothic"/>
          <w:sz w:val="22"/>
          <w:szCs w:val="22"/>
        </w:rPr>
        <w:t xml:space="preserve"> and build a loyal audience not only of disabled people but also of their family</w:t>
      </w:r>
      <w:smartTag w:uri="urn:schemas-microsoft-com:office:smarttags" w:element="PersonName">
        <w:r>
          <w:rPr>
            <w:rFonts w:ascii="Century Gothic" w:hAnsi="Century Gothic"/>
            <w:sz w:val="22"/>
            <w:szCs w:val="22"/>
          </w:rPr>
          <w:t>,</w:t>
        </w:r>
      </w:smartTag>
      <w:r>
        <w:rPr>
          <w:rFonts w:ascii="Century Gothic" w:hAnsi="Century Gothic"/>
          <w:sz w:val="22"/>
          <w:szCs w:val="22"/>
        </w:rPr>
        <w:t xml:space="preserve"> </w:t>
      </w:r>
      <w:r w:rsidRPr="002A5193">
        <w:rPr>
          <w:rFonts w:ascii="Century Gothic" w:hAnsi="Century Gothic"/>
          <w:sz w:val="22"/>
          <w:szCs w:val="22"/>
        </w:rPr>
        <w:t>whānau and friends.</w:t>
      </w:r>
    </w:p>
    <w:p w:rsidR="002D618D" w:rsidRDefault="002D618D" w:rsidP="002D618D">
      <w:pPr>
        <w:rPr>
          <w:rFonts w:ascii="Century Gothic" w:hAnsi="Century Gothic"/>
          <w:sz w:val="22"/>
          <w:szCs w:val="22"/>
        </w:rPr>
      </w:pPr>
    </w:p>
    <w:p w:rsidR="00483386" w:rsidRDefault="00483386" w:rsidP="00483386">
      <w:pPr>
        <w:pStyle w:val="Default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Booking tickets</w:t>
      </w:r>
    </w:p>
    <w:p w:rsidR="005A5ADC" w:rsidRDefault="00340B35" w:rsidP="002D61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Ticketing offices can be difficult places to access: e.g. the counters are often too high for wheelchair users to see over.</w:t>
      </w:r>
      <w:r w:rsidR="005A5ADC">
        <w:rPr>
          <w:rFonts w:ascii="Century Gothic" w:hAnsi="Century Gothic"/>
          <w:sz w:val="22"/>
          <w:szCs w:val="22"/>
        </w:rPr>
        <w:t xml:space="preserve"> What other options do people have to book tickets? If it’s online, is it easy and accessible?</w:t>
      </w:r>
    </w:p>
    <w:p w:rsidR="005A5ADC" w:rsidRDefault="005A5ADC" w:rsidP="002D618D">
      <w:pPr>
        <w:rPr>
          <w:rFonts w:ascii="Century Gothic" w:hAnsi="Century Gothic"/>
          <w:sz w:val="22"/>
          <w:szCs w:val="22"/>
        </w:rPr>
      </w:pPr>
    </w:p>
    <w:p w:rsidR="00340B35" w:rsidRDefault="005A5ADC" w:rsidP="002D61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use a ticketing agency, find out its processes for ensuring all people have access to your events. </w:t>
      </w:r>
    </w:p>
    <w:p w:rsidR="00340B35" w:rsidRDefault="00340B35" w:rsidP="002D618D">
      <w:pPr>
        <w:rPr>
          <w:rFonts w:ascii="Century Gothic" w:hAnsi="Century Gothic"/>
          <w:sz w:val="22"/>
          <w:szCs w:val="22"/>
        </w:rPr>
      </w:pPr>
    </w:p>
    <w:p w:rsidR="002D618D" w:rsidRDefault="002D618D" w:rsidP="002D61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you choose to offer discounted tickets:</w:t>
      </w:r>
    </w:p>
    <w:p w:rsidR="002D618D" w:rsidRPr="002D618D" w:rsidRDefault="00DE388F" w:rsidP="002D618D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="002D618D">
        <w:rPr>
          <w:rFonts w:ascii="Century Gothic" w:hAnsi="Century Gothic"/>
          <w:sz w:val="22"/>
          <w:szCs w:val="22"/>
        </w:rPr>
        <w:t>evelop a</w:t>
      </w:r>
      <w:r w:rsidR="005128FD">
        <w:rPr>
          <w:rFonts w:ascii="Century Gothic" w:hAnsi="Century Gothic"/>
          <w:sz w:val="22"/>
          <w:szCs w:val="22"/>
        </w:rPr>
        <w:t xml:space="preserve"> </w:t>
      </w:r>
      <w:r w:rsidR="00483386">
        <w:rPr>
          <w:rFonts w:ascii="Century Gothic" w:hAnsi="Century Gothic"/>
          <w:sz w:val="22"/>
          <w:szCs w:val="22"/>
        </w:rPr>
        <w:t xml:space="preserve"> clear </w:t>
      </w:r>
      <w:r w:rsidR="005128FD">
        <w:rPr>
          <w:rFonts w:ascii="Century Gothic" w:hAnsi="Century Gothic"/>
          <w:sz w:val="22"/>
          <w:szCs w:val="22"/>
        </w:rPr>
        <w:t>ticketing</w:t>
      </w:r>
      <w:r w:rsidR="002D618D">
        <w:rPr>
          <w:rFonts w:ascii="Century Gothic" w:hAnsi="Century Gothic"/>
          <w:sz w:val="22"/>
          <w:szCs w:val="22"/>
        </w:rPr>
        <w:t xml:space="preserve"> policy </w:t>
      </w:r>
      <w:r>
        <w:rPr>
          <w:rFonts w:ascii="Century Gothic" w:hAnsi="Century Gothic"/>
          <w:sz w:val="22"/>
          <w:szCs w:val="22"/>
        </w:rPr>
        <w:t>that</w:t>
      </w:r>
      <w:r w:rsidR="005128FD">
        <w:rPr>
          <w:rFonts w:ascii="Century Gothic" w:hAnsi="Century Gothic"/>
          <w:sz w:val="22"/>
          <w:szCs w:val="22"/>
        </w:rPr>
        <w:t xml:space="preserve"> </w:t>
      </w:r>
      <w:r w:rsidR="002D618D">
        <w:rPr>
          <w:rFonts w:ascii="Century Gothic" w:hAnsi="Century Gothic"/>
          <w:sz w:val="22"/>
          <w:szCs w:val="22"/>
        </w:rPr>
        <w:t>outlines procedure and practice</w:t>
      </w:r>
      <w:smartTag w:uri="urn:schemas-microsoft-com:office:smarttags" w:element="PersonName">
        <w:r w:rsidR="005128FD">
          <w:rPr>
            <w:rFonts w:ascii="Century Gothic" w:hAnsi="Century Gothic"/>
            <w:sz w:val="22"/>
            <w:szCs w:val="22"/>
          </w:rPr>
          <w:t>,</w:t>
        </w:r>
      </w:smartTag>
      <w:r w:rsidR="005128FD">
        <w:rPr>
          <w:rFonts w:ascii="Century Gothic" w:hAnsi="Century Gothic"/>
          <w:sz w:val="22"/>
          <w:szCs w:val="22"/>
        </w:rPr>
        <w:t xml:space="preserve"> and</w:t>
      </w:r>
      <w:r w:rsidR="002D618D">
        <w:rPr>
          <w:rFonts w:ascii="Century Gothic" w:hAnsi="Century Gothic"/>
          <w:sz w:val="22"/>
          <w:szCs w:val="22"/>
        </w:rPr>
        <w:t xml:space="preserve"> refl</w:t>
      </w:r>
      <w:r>
        <w:rPr>
          <w:rFonts w:ascii="Century Gothic" w:hAnsi="Century Gothic"/>
          <w:sz w:val="22"/>
          <w:szCs w:val="22"/>
        </w:rPr>
        <w:t>ects the venue’s seating policy</w:t>
      </w:r>
    </w:p>
    <w:p w:rsidR="002D618D" w:rsidRDefault="00DE388F" w:rsidP="002D618D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</w:t>
      </w:r>
      <w:r w:rsidR="002D618D">
        <w:rPr>
          <w:rFonts w:ascii="Century Gothic" w:hAnsi="Century Gothic"/>
          <w:sz w:val="22"/>
          <w:szCs w:val="22"/>
        </w:rPr>
        <w:t>nsure all staff</w:t>
      </w:r>
      <w:smartTag w:uri="urn:schemas-microsoft-com:office:smarttags" w:element="PersonName">
        <w:r w:rsidR="002D618D">
          <w:rPr>
            <w:rFonts w:ascii="Century Gothic" w:hAnsi="Century Gothic"/>
            <w:sz w:val="22"/>
            <w:szCs w:val="22"/>
          </w:rPr>
          <w:t>,</w:t>
        </w:r>
      </w:smartTag>
      <w:r w:rsidR="002D618D">
        <w:rPr>
          <w:rFonts w:ascii="Century Gothic" w:hAnsi="Century Gothic"/>
          <w:sz w:val="22"/>
          <w:szCs w:val="22"/>
        </w:rPr>
        <w:t xml:space="preserve"> especially those handling bookings and enquiries</w:t>
      </w:r>
      <w:smartTag w:uri="urn:schemas-microsoft-com:office:smarttags" w:element="PersonName">
        <w:r w:rsidR="002D618D">
          <w:rPr>
            <w:rFonts w:ascii="Century Gothic" w:hAnsi="Century Gothic"/>
            <w:sz w:val="22"/>
            <w:szCs w:val="22"/>
          </w:rPr>
          <w:t>,</w:t>
        </w:r>
      </w:smartTag>
      <w:r w:rsidR="002D618D">
        <w:rPr>
          <w:rFonts w:ascii="Century Gothic" w:hAnsi="Century Gothic"/>
          <w:sz w:val="22"/>
          <w:szCs w:val="22"/>
        </w:rPr>
        <w:t xml:space="preserve"> are famil</w:t>
      </w:r>
      <w:r>
        <w:rPr>
          <w:rFonts w:ascii="Century Gothic" w:hAnsi="Century Gothic"/>
          <w:sz w:val="22"/>
          <w:szCs w:val="22"/>
        </w:rPr>
        <w:t>iar with this policy</w:t>
      </w:r>
    </w:p>
    <w:p w:rsidR="00340B35" w:rsidRPr="00340B35" w:rsidRDefault="002D618D" w:rsidP="002D618D">
      <w:pPr>
        <w:numPr>
          <w:ilvl w:val="0"/>
          <w:numId w:val="2"/>
        </w:numPr>
        <w:rPr>
          <w:rFonts w:ascii="Century Gothic" w:hAnsi="Century Gothic"/>
          <w:b/>
          <w:bCs/>
          <w:sz w:val="26"/>
          <w:szCs w:val="26"/>
        </w:rPr>
      </w:pPr>
      <w:r w:rsidRPr="00340B35">
        <w:rPr>
          <w:rFonts w:ascii="Century Gothic" w:hAnsi="Century Gothic"/>
          <w:sz w:val="22"/>
          <w:szCs w:val="22"/>
        </w:rPr>
        <w:t xml:space="preserve">communicate </w:t>
      </w:r>
      <w:r w:rsidR="00340B35" w:rsidRPr="00340B35">
        <w:rPr>
          <w:rFonts w:ascii="Century Gothic" w:hAnsi="Century Gothic"/>
          <w:sz w:val="22"/>
          <w:szCs w:val="22"/>
        </w:rPr>
        <w:t xml:space="preserve">clearly </w:t>
      </w:r>
      <w:r w:rsidRPr="00340B35">
        <w:rPr>
          <w:rFonts w:ascii="Century Gothic" w:hAnsi="Century Gothic"/>
          <w:sz w:val="22"/>
          <w:szCs w:val="22"/>
        </w:rPr>
        <w:t xml:space="preserve">who </w:t>
      </w:r>
      <w:r w:rsidR="00DE388F" w:rsidRPr="00340B35">
        <w:rPr>
          <w:rFonts w:ascii="Century Gothic" w:hAnsi="Century Gothic"/>
          <w:sz w:val="22"/>
          <w:szCs w:val="22"/>
        </w:rPr>
        <w:t xml:space="preserve">is responsible in specific situations: </w:t>
      </w:r>
      <w:r w:rsidRPr="00340B35">
        <w:rPr>
          <w:rFonts w:ascii="Century Gothic" w:hAnsi="Century Gothic"/>
          <w:sz w:val="22"/>
          <w:szCs w:val="22"/>
        </w:rPr>
        <w:t>e.g. if you receive a complaint about discriminatory practice</w:t>
      </w:r>
      <w:r w:rsidR="005128FD" w:rsidRPr="00340B35">
        <w:rPr>
          <w:rFonts w:ascii="Century Gothic" w:hAnsi="Century Gothic"/>
          <w:sz w:val="22"/>
          <w:szCs w:val="22"/>
        </w:rPr>
        <w:t xml:space="preserve"> or unsuitable seating</w:t>
      </w:r>
      <w:r w:rsidRPr="00340B35">
        <w:rPr>
          <w:rFonts w:ascii="Century Gothic" w:hAnsi="Century Gothic"/>
          <w:sz w:val="22"/>
          <w:szCs w:val="22"/>
        </w:rPr>
        <w:t>.</w:t>
      </w:r>
    </w:p>
    <w:p w:rsidR="00340B35" w:rsidRPr="00340B35" w:rsidRDefault="00340B35" w:rsidP="00340B35">
      <w:pPr>
        <w:ind w:left="780"/>
        <w:rPr>
          <w:rFonts w:ascii="Century Gothic" w:hAnsi="Century Gothic"/>
          <w:b/>
          <w:bCs/>
          <w:sz w:val="26"/>
          <w:szCs w:val="26"/>
        </w:rPr>
      </w:pPr>
    </w:p>
    <w:p w:rsidR="002D618D" w:rsidRDefault="00DE388F" w:rsidP="002D618D">
      <w:pPr>
        <w:pStyle w:val="Default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Seating p</w:t>
      </w:r>
      <w:r w:rsidR="002D618D">
        <w:rPr>
          <w:rFonts w:ascii="Century Gothic" w:hAnsi="Century Gothic"/>
          <w:b/>
          <w:bCs/>
          <w:sz w:val="26"/>
          <w:szCs w:val="26"/>
        </w:rPr>
        <w:t>olicies</w:t>
      </w:r>
    </w:p>
    <w:p w:rsidR="00340B35" w:rsidRPr="002D618D" w:rsidRDefault="002D618D" w:rsidP="002D61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Providing spaces for people who use wheelchairs is not the only access consideration for venues. </w:t>
      </w:r>
    </w:p>
    <w:p w:rsidR="002D618D" w:rsidRDefault="002D618D" w:rsidP="002D618D">
      <w:pPr>
        <w:pStyle w:val="Default"/>
        <w:rPr>
          <w:rFonts w:ascii="Century Gothic" w:hAnsi="Century Gothic"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900"/>
        <w:gridCol w:w="900"/>
        <w:gridCol w:w="3780"/>
      </w:tblGrid>
      <w:tr w:rsidR="002D618D" w:rsidRPr="00302B35" w:rsidTr="00FA642F">
        <w:trPr>
          <w:trHeight w:val="521"/>
        </w:trPr>
        <w:tc>
          <w:tcPr>
            <w:tcW w:w="45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lang w:val="en-AU"/>
              </w:rPr>
            </w:pPr>
          </w:p>
          <w:p w:rsidR="002D618D" w:rsidRPr="00302B35" w:rsidRDefault="00C91FB2" w:rsidP="00DA6061">
            <w:pPr>
              <w:rPr>
                <w:rFonts w:ascii="Century Gothic" w:hAnsi="Century Gothic"/>
                <w:b/>
                <w:lang w:val="en-AU"/>
              </w:rPr>
            </w:pPr>
            <w:r w:rsidRPr="00302B35">
              <w:rPr>
                <w:rFonts w:ascii="Century Gothic" w:hAnsi="Century Gothic"/>
                <w:b/>
                <w:lang w:val="en-AU"/>
              </w:rPr>
              <w:t>Seating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No</w:t>
            </w: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b/>
                <w:sz w:val="22"/>
                <w:szCs w:val="22"/>
                <w:lang w:val="en-AU"/>
              </w:rPr>
              <w:t>Comments</w:t>
            </w: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Do you provide wheelchair spaces?</w:t>
            </w:r>
          </w:p>
          <w:p w:rsidR="00C91FB2" w:rsidRPr="00302B35" w:rsidRDefault="00DE388F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Do you have two </w:t>
            </w:r>
            <w:r w:rsidR="006A3D74" w:rsidRPr="00302B35">
              <w:rPr>
                <w:rFonts w:ascii="Century Gothic" w:hAnsi="Century Gothic"/>
                <w:sz w:val="22"/>
                <w:szCs w:val="22"/>
                <w:lang w:val="en-AU"/>
              </w:rPr>
              <w:t>wheelchair spaces for up to 250 seats</w:t>
            </w:r>
            <w:smartTag w:uri="urn:schemas-microsoft-com:office:smarttags" w:element="PersonName">
              <w:r w:rsidR="006A3D74"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and one</w:t>
            </w:r>
            <w:r w:rsidR="006A3D74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for each additional 250 seats</w:t>
            </w:r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44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</w:rPr>
              <w:t>Are wheelchair spaces integrated into seating areas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</w:rPr>
              <w:t xml:space="preserve"> with a choice of viewing positions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</w:rPr>
              <w:t xml:space="preserve"> and with adjacent companion seating?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If you venue is sloped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are there level areas where people using wheelchairs can be seated?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If your venue has</w:t>
            </w:r>
            <w:r w:rsidR="00DE388F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 lot of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steps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do you set aside aisle seats on the first row of each level?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DE388F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Can service dogs come into your venue and remain </w:t>
            </w:r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>a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longside, or under the chair of</w:t>
            </w:r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their owner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s</w:t>
            </w:r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>?</w:t>
            </w:r>
            <w:r w:rsidR="00483386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The law allows for this.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503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Do you have aisle seats with removable arm rests for people who wish to transfer from </w:t>
            </w:r>
            <w:r w:rsidR="004E1B4D" w:rsidRPr="00302B35">
              <w:rPr>
                <w:rFonts w:ascii="Century Gothic" w:hAnsi="Century Gothic"/>
                <w:sz w:val="22"/>
                <w:szCs w:val="22"/>
                <w:lang w:val="en-AU"/>
              </w:rPr>
              <w:t>wheelchairs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Do you have procedures in place for storing wheelchairs and other equipment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as well as returning them at intervals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emergencies and the end of the event?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If you have hearing loops or infra</w:t>
            </w:r>
            <w:r w:rsidR="00DE388F" w:rsidRPr="00302B35">
              <w:rPr>
                <w:rFonts w:ascii="Century Gothic" w:hAnsi="Century Gothic"/>
                <w:sz w:val="22"/>
                <w:szCs w:val="22"/>
                <w:lang w:val="en-AU"/>
              </w:rPr>
              <w:t>-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red systems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do you set aside seats </w:t>
            </w:r>
            <w:r w:rsidR="00DE388F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that 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enable the </w:t>
            </w:r>
            <w:r w:rsidR="00DE388F" w:rsidRPr="00302B35">
              <w:rPr>
                <w:rFonts w:ascii="Century Gothic" w:hAnsi="Century Gothic"/>
                <w:sz w:val="22"/>
                <w:szCs w:val="22"/>
                <w:lang w:val="en-AU"/>
              </w:rPr>
              <w:t>best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use of these systems?</w:t>
            </w:r>
            <w:r w:rsidR="00483386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Do your staff know how to operate them?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If</w:t>
            </w:r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 New Zealand Sign Language interpreter is at an event</w:t>
            </w:r>
            <w:smartTag w:uri="urn:schemas-microsoft-com:office:smarttags" w:element="PersonName">
              <w:r w:rsidR="00C91FB2"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="00C91FB2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do you set aside seats so that Deaf audience members can best see the interpreter and the event?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44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Are there tread lights or flare paths to indicate </w:t>
            </w:r>
            <w:r w:rsidR="004E1B4D" w:rsidRPr="00302B35">
              <w:rPr>
                <w:rFonts w:ascii="Century Gothic" w:hAnsi="Century Gothic"/>
                <w:sz w:val="22"/>
                <w:szCs w:val="22"/>
                <w:lang w:val="en-AU"/>
              </w:rPr>
              <w:t>pathways when lights are dimmed</w:t>
            </w:r>
            <w:r w:rsidR="002D618D" w:rsidRPr="00302B35">
              <w:rPr>
                <w:rFonts w:ascii="Century Gothic" w:hAnsi="Century Gothic"/>
                <w:sz w:val="22"/>
                <w:szCs w:val="22"/>
                <w:lang w:val="en-AU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44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lastRenderedPageBreak/>
              <w:t>A</w:t>
            </w:r>
            <w:bookmarkStart w:id="0" w:name="_GoBack"/>
            <w:bookmarkEnd w:id="0"/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re row and seat numbers large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clear and </w:t>
            </w:r>
            <w:r w:rsidR="008D0B4A"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suitably 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>lit?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  <w:p w:rsidR="002D618D" w:rsidRPr="00302B35" w:rsidRDefault="002D618D" w:rsidP="00DA6061">
            <w:pPr>
              <w:rPr>
                <w:rFonts w:ascii="Century Gothic" w:hAnsi="Century Gothic"/>
                <w:b/>
                <w:sz w:val="22"/>
                <w:szCs w:val="22"/>
                <w:lang w:val="en-AU"/>
              </w:rPr>
            </w:pPr>
          </w:p>
        </w:tc>
      </w:tr>
      <w:tr w:rsidR="002D618D" w:rsidRPr="00302B35" w:rsidTr="00FA642F">
        <w:trPr>
          <w:trHeight w:val="612"/>
        </w:trPr>
        <w:tc>
          <w:tcPr>
            <w:tcW w:w="4500" w:type="dxa"/>
            <w:shd w:val="clear" w:color="auto" w:fill="auto"/>
          </w:tcPr>
          <w:p w:rsidR="002D618D" w:rsidRPr="00302B35" w:rsidRDefault="00C91FB2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Are lighting levels adequate when </w:t>
            </w:r>
            <w:r w:rsidR="008D0B4A" w:rsidRPr="00302B35">
              <w:rPr>
                <w:rFonts w:ascii="Century Gothic" w:hAnsi="Century Gothic"/>
                <w:sz w:val="22"/>
                <w:szCs w:val="22"/>
                <w:lang w:val="en-AU"/>
              </w:rPr>
              <w:t>the</w:t>
            </w:r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audience arrives</w:t>
            </w:r>
            <w:smartTag w:uri="urn:schemas-microsoft-com:office:smarttags" w:element="PersonName">
              <w:r w:rsidRPr="00302B35">
                <w:rPr>
                  <w:rFonts w:ascii="Century Gothic" w:hAnsi="Century Gothic"/>
                  <w:sz w:val="22"/>
                  <w:szCs w:val="22"/>
                  <w:lang w:val="en-AU"/>
                </w:rPr>
                <w:t>,</w:t>
              </w:r>
            </w:smartTag>
            <w:r w:rsidRPr="00302B35">
              <w:rPr>
                <w:rFonts w:ascii="Century Gothic" w:hAnsi="Century Gothic"/>
                <w:sz w:val="22"/>
                <w:szCs w:val="22"/>
                <w:lang w:val="en-AU"/>
              </w:rPr>
              <w:t xml:space="preserve"> leaves and in case of emergency?</w:t>
            </w: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90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  <w:tc>
          <w:tcPr>
            <w:tcW w:w="3780" w:type="dxa"/>
            <w:shd w:val="clear" w:color="auto" w:fill="auto"/>
          </w:tcPr>
          <w:p w:rsidR="002D618D" w:rsidRPr="00302B35" w:rsidRDefault="002D618D" w:rsidP="00DA6061">
            <w:pPr>
              <w:rPr>
                <w:rFonts w:ascii="Century Gothic" w:hAnsi="Century Gothic"/>
                <w:sz w:val="22"/>
                <w:szCs w:val="22"/>
                <w:lang w:val="en-AU"/>
              </w:rPr>
            </w:pPr>
          </w:p>
        </w:tc>
      </w:tr>
    </w:tbl>
    <w:p w:rsidR="00AD096D" w:rsidRDefault="00AD096D"/>
    <w:p w:rsidR="000C7460" w:rsidRPr="000C7460" w:rsidRDefault="000C7460" w:rsidP="000C7460">
      <w:pPr>
        <w:rPr>
          <w:rFonts w:ascii="Century Gothic" w:hAnsi="Century Gothic"/>
          <w:b/>
        </w:rPr>
      </w:pPr>
      <w:r w:rsidRPr="000C7460">
        <w:rPr>
          <w:rFonts w:ascii="Century Gothic" w:hAnsi="Century Gothic"/>
          <w:b/>
        </w:rPr>
        <w:t>Contact Arts Access Aotearoa:</w:t>
      </w:r>
    </w:p>
    <w:p w:rsidR="000C7460" w:rsidRPr="000C7460" w:rsidRDefault="000C7460" w:rsidP="000C7460">
      <w:pPr>
        <w:rPr>
          <w:rFonts w:ascii="Century Gothic" w:hAnsi="Century Gothic"/>
          <w:sz w:val="22"/>
          <w:szCs w:val="22"/>
        </w:rPr>
      </w:pPr>
      <w:r w:rsidRPr="000C7460">
        <w:rPr>
          <w:rFonts w:ascii="Century Gothic" w:hAnsi="Century Gothic"/>
          <w:sz w:val="22"/>
          <w:szCs w:val="22"/>
        </w:rPr>
        <w:t>T: 04 802 4349</w:t>
      </w:r>
    </w:p>
    <w:p w:rsidR="000C7460" w:rsidRPr="000C7460" w:rsidRDefault="000C7460" w:rsidP="000C7460">
      <w:pPr>
        <w:rPr>
          <w:rFonts w:ascii="Century Gothic" w:hAnsi="Century Gothic"/>
          <w:sz w:val="22"/>
          <w:szCs w:val="22"/>
        </w:rPr>
      </w:pPr>
      <w:r w:rsidRPr="000C7460">
        <w:rPr>
          <w:rFonts w:ascii="Century Gothic" w:hAnsi="Century Gothic"/>
          <w:sz w:val="22"/>
          <w:szCs w:val="22"/>
        </w:rPr>
        <w:t xml:space="preserve">E: </w:t>
      </w:r>
      <w:hyperlink r:id="rId13" w:history="1">
        <w:r w:rsidRPr="000C7460">
          <w:rPr>
            <w:rStyle w:val="Hyperlink"/>
            <w:rFonts w:ascii="Century Gothic" w:hAnsi="Century Gothic"/>
            <w:color w:val="auto"/>
            <w:sz w:val="22"/>
            <w:szCs w:val="22"/>
          </w:rPr>
          <w:t>info@artsaccess.org.nz</w:t>
        </w:r>
      </w:hyperlink>
    </w:p>
    <w:p w:rsidR="000C7460" w:rsidRPr="000C7460" w:rsidRDefault="000C7460" w:rsidP="000C7460">
      <w:pPr>
        <w:rPr>
          <w:rFonts w:ascii="Century Gothic" w:hAnsi="Century Gothic"/>
          <w:sz w:val="22"/>
          <w:szCs w:val="22"/>
        </w:rPr>
      </w:pPr>
      <w:r w:rsidRPr="000C7460">
        <w:rPr>
          <w:rFonts w:ascii="Century Gothic" w:hAnsi="Century Gothic"/>
          <w:sz w:val="22"/>
          <w:szCs w:val="22"/>
        </w:rPr>
        <w:t>W: www.artsaccess.org.nz</w:t>
      </w:r>
    </w:p>
    <w:p w:rsidR="00750A70" w:rsidRDefault="00750A70"/>
    <w:p w:rsidR="00645A51" w:rsidRPr="000C7460" w:rsidRDefault="00645A51" w:rsidP="00645A51">
      <w:pPr>
        <w:jc w:val="both"/>
        <w:rPr>
          <w:rFonts w:ascii="Century Gothic" w:hAnsi="Century Gothic"/>
          <w:b/>
          <w:color w:val="000000"/>
          <w:sz w:val="20"/>
          <w:szCs w:val="20"/>
          <w:lang w:val="en-US" w:eastAsia="en-US"/>
        </w:rPr>
      </w:pPr>
      <w:r w:rsidRPr="000C7460">
        <w:rPr>
          <w:rFonts w:ascii="Century Gothic" w:hAnsi="Century Gothic"/>
          <w:b/>
          <w:color w:val="000000"/>
          <w:sz w:val="20"/>
          <w:szCs w:val="20"/>
          <w:lang w:val="en-US" w:eastAsia="en-US"/>
        </w:rPr>
        <w:t>Disclaimer:</w:t>
      </w:r>
    </w:p>
    <w:p w:rsidR="00645A51" w:rsidRPr="00645A51" w:rsidRDefault="00645A51" w:rsidP="00D15CD7">
      <w:pPr>
        <w:rPr>
          <w:rFonts w:ascii="Century Gothic" w:hAnsi="Century Gothic"/>
          <w:color w:val="000000"/>
          <w:sz w:val="20"/>
          <w:szCs w:val="20"/>
          <w:lang w:val="en-US" w:eastAsia="en-US"/>
        </w:rPr>
      </w:pPr>
      <w:r w:rsidRPr="00645A51">
        <w:rPr>
          <w:rFonts w:ascii="Century Gothic" w:hAnsi="Century Gothic"/>
          <w:color w:val="000000"/>
          <w:sz w:val="20"/>
          <w:szCs w:val="20"/>
          <w:lang w:val="en-US" w:eastAsia="en-US"/>
        </w:rPr>
        <w:t xml:space="preserve">The material in this </w:t>
      </w:r>
      <w:r w:rsidRPr="00645A51">
        <w:rPr>
          <w:rFonts w:ascii="Century Gothic" w:hAnsi="Century Gothic"/>
          <w:bCs/>
          <w:color w:val="000000"/>
          <w:sz w:val="20"/>
          <w:szCs w:val="20"/>
          <w:lang w:val="en-US" w:eastAsia="en-US"/>
        </w:rPr>
        <w:t>checklist</w:t>
      </w:r>
      <w:r w:rsidRPr="00645A51">
        <w:rPr>
          <w:rFonts w:ascii="Century Gothic" w:hAnsi="Century Gothic"/>
          <w:color w:val="000000"/>
          <w:sz w:val="20"/>
          <w:szCs w:val="20"/>
          <w:lang w:val="en-US" w:eastAsia="en-US"/>
        </w:rPr>
        <w:t xml:space="preserve"> is intended </w:t>
      </w:r>
      <w:r w:rsidRPr="00645A51">
        <w:rPr>
          <w:rFonts w:ascii="Century Gothic" w:hAnsi="Century Gothic"/>
          <w:sz w:val="20"/>
          <w:szCs w:val="20"/>
        </w:rPr>
        <w:t>as a general guide only and should not be relied on as a substitute for technical</w:t>
      </w:r>
      <w:smartTag w:uri="urn:schemas-microsoft-com:office:smarttags" w:element="PersonName">
        <w:r w:rsidRPr="00645A51">
          <w:rPr>
            <w:rFonts w:ascii="Century Gothic" w:hAnsi="Century Gothic"/>
            <w:sz w:val="20"/>
            <w:szCs w:val="20"/>
          </w:rPr>
          <w:t>,</w:t>
        </w:r>
      </w:smartTag>
      <w:r w:rsidRPr="00645A51">
        <w:rPr>
          <w:rFonts w:ascii="Century Gothic" w:hAnsi="Century Gothic"/>
          <w:sz w:val="20"/>
          <w:szCs w:val="20"/>
        </w:rPr>
        <w:t xml:space="preserve"> legal or other professional advice. While care has been taken in the preparation of this material</w:t>
      </w:r>
      <w:smartTag w:uri="urn:schemas-microsoft-com:office:smarttags" w:element="PersonName">
        <w:r w:rsidRPr="00645A51">
          <w:rPr>
            <w:rFonts w:ascii="Century Gothic" w:hAnsi="Century Gothic"/>
            <w:sz w:val="20"/>
            <w:szCs w:val="20"/>
          </w:rPr>
          <w:t>,</w:t>
        </w:r>
      </w:smartTag>
      <w:r w:rsidRPr="00645A51">
        <w:rPr>
          <w:rFonts w:ascii="Century Gothic" w:hAnsi="Century Gothic"/>
          <w:sz w:val="20"/>
          <w:szCs w:val="20"/>
        </w:rPr>
        <w:t xml:space="preserve"> the writers and publishers do not accept responsibility for any errors or omissions</w:t>
      </w:r>
      <w:smartTag w:uri="urn:schemas-microsoft-com:office:smarttags" w:element="PersonName">
        <w:r w:rsidRPr="00645A51">
          <w:rPr>
            <w:rFonts w:ascii="Century Gothic" w:hAnsi="Century Gothic"/>
            <w:sz w:val="20"/>
            <w:szCs w:val="20"/>
          </w:rPr>
          <w:t>,</w:t>
        </w:r>
      </w:smartTag>
      <w:r w:rsidRPr="00645A51">
        <w:rPr>
          <w:rFonts w:ascii="Century Gothic" w:hAnsi="Century Gothic"/>
          <w:sz w:val="20"/>
          <w:szCs w:val="20"/>
        </w:rPr>
        <w:t xml:space="preserve"> or for the result of any actions taken on the basis of this information.</w:t>
      </w:r>
    </w:p>
    <w:p w:rsidR="004473E3" w:rsidRDefault="004473E3" w:rsidP="00D15CD7"/>
    <w:sectPr w:rsidR="004473E3" w:rsidSect="00FA642F">
      <w:footerReference w:type="default" r:id="rId14"/>
      <w:pgSz w:w="11906" w:h="16838"/>
      <w:pgMar w:top="2126" w:right="268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35" w:rsidRDefault="00302B35">
      <w:r>
        <w:separator/>
      </w:r>
    </w:p>
  </w:endnote>
  <w:endnote w:type="continuationSeparator" w:id="0">
    <w:p w:rsidR="00302B35" w:rsidRDefault="0030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3" w:rsidRPr="006F6253" w:rsidRDefault="006F6253" w:rsidP="00FA642F">
    <w:pPr>
      <w:jc w:val="right"/>
      <w:rPr>
        <w:rFonts w:ascii="Century Gothic" w:hAnsi="Century Gothic"/>
        <w:b/>
        <w:sz w:val="18"/>
        <w:szCs w:val="18"/>
      </w:rPr>
    </w:pPr>
    <w:r w:rsidRPr="006F6253">
      <w:rPr>
        <w:rFonts w:ascii="Century Gothic" w:hAnsi="Century Gothic"/>
        <w:b/>
        <w:sz w:val="18"/>
        <w:szCs w:val="18"/>
      </w:rPr>
      <w:tab/>
    </w:r>
    <w:r w:rsidRPr="006F6253">
      <w:rPr>
        <w:rFonts w:ascii="Century Gothic" w:hAnsi="Century Gothic"/>
        <w:b/>
        <w:sz w:val="18"/>
        <w:szCs w:val="18"/>
      </w:rPr>
      <w:tab/>
    </w:r>
    <w:r w:rsidRPr="006F6253">
      <w:rPr>
        <w:rFonts w:ascii="Century Gothic" w:hAnsi="Century Gothic"/>
        <w:b/>
        <w:sz w:val="18"/>
        <w:szCs w:val="18"/>
      </w:rPr>
      <w:tab/>
    </w:r>
    <w:r w:rsidRPr="006F6253"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b/>
        <w:sz w:val="18"/>
        <w:szCs w:val="18"/>
      </w:rPr>
      <w:t xml:space="preserve">    </w:t>
    </w:r>
    <w:r w:rsidRPr="006F6253">
      <w:rPr>
        <w:rStyle w:val="PageNumber"/>
        <w:rFonts w:ascii="Century Gothic" w:hAnsi="Century Gothic"/>
      </w:rPr>
      <w:fldChar w:fldCharType="begin"/>
    </w:r>
    <w:r w:rsidRPr="006F6253">
      <w:rPr>
        <w:rStyle w:val="PageNumber"/>
        <w:rFonts w:ascii="Century Gothic" w:hAnsi="Century Gothic"/>
      </w:rPr>
      <w:instrText xml:space="preserve"> PAGE </w:instrText>
    </w:r>
    <w:r w:rsidRPr="006F6253">
      <w:rPr>
        <w:rStyle w:val="PageNumber"/>
        <w:rFonts w:ascii="Century Gothic" w:hAnsi="Century Gothic"/>
      </w:rPr>
      <w:fldChar w:fldCharType="separate"/>
    </w:r>
    <w:r w:rsidR="00D15CD7">
      <w:rPr>
        <w:rStyle w:val="PageNumber"/>
        <w:rFonts w:ascii="Century Gothic" w:hAnsi="Century Gothic"/>
        <w:noProof/>
      </w:rPr>
      <w:t>2</w:t>
    </w:r>
    <w:r w:rsidRPr="006F6253">
      <w:rPr>
        <w:rStyle w:val="PageNumber"/>
        <w:rFonts w:ascii="Century Gothic" w:hAnsi="Century Gothic"/>
      </w:rPr>
      <w:fldChar w:fldCharType="end"/>
    </w:r>
  </w:p>
  <w:p w:rsidR="006F6253" w:rsidRPr="006F6253" w:rsidRDefault="006F6253" w:rsidP="006F6253">
    <w:pPr>
      <w:rPr>
        <w:rFonts w:ascii="Century Gothic" w:hAnsi="Century Gothic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35" w:rsidRDefault="00302B35">
      <w:r>
        <w:separator/>
      </w:r>
    </w:p>
  </w:footnote>
  <w:footnote w:type="continuationSeparator" w:id="0">
    <w:p w:rsidR="00302B35" w:rsidRDefault="0030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EE6"/>
    <w:multiLevelType w:val="hybridMultilevel"/>
    <w:tmpl w:val="9D44C460"/>
    <w:lvl w:ilvl="0" w:tplc="BC7EA8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5B35A"/>
    <w:multiLevelType w:val="hybridMultilevel"/>
    <w:tmpl w:val="94DAC4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3A27D2"/>
    <w:multiLevelType w:val="hybridMultilevel"/>
    <w:tmpl w:val="9DE4CB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1"/>
    <w:rsid w:val="00014B65"/>
    <w:rsid w:val="00021DAF"/>
    <w:rsid w:val="0006767A"/>
    <w:rsid w:val="000C7460"/>
    <w:rsid w:val="000D3BD9"/>
    <w:rsid w:val="000D7881"/>
    <w:rsid w:val="000F47E5"/>
    <w:rsid w:val="00127862"/>
    <w:rsid w:val="00142AA9"/>
    <w:rsid w:val="002124DA"/>
    <w:rsid w:val="00240E18"/>
    <w:rsid w:val="00271EA4"/>
    <w:rsid w:val="002D01E0"/>
    <w:rsid w:val="002D618D"/>
    <w:rsid w:val="00302B35"/>
    <w:rsid w:val="00305B13"/>
    <w:rsid w:val="00340B35"/>
    <w:rsid w:val="00416625"/>
    <w:rsid w:val="004473E3"/>
    <w:rsid w:val="00453DA2"/>
    <w:rsid w:val="00483386"/>
    <w:rsid w:val="00490A5D"/>
    <w:rsid w:val="004C7FD2"/>
    <w:rsid w:val="004E1B4D"/>
    <w:rsid w:val="005128FD"/>
    <w:rsid w:val="00527C95"/>
    <w:rsid w:val="00555274"/>
    <w:rsid w:val="005A5ADC"/>
    <w:rsid w:val="005B1AC2"/>
    <w:rsid w:val="00645A51"/>
    <w:rsid w:val="0067769E"/>
    <w:rsid w:val="006A3D74"/>
    <w:rsid w:val="006A4CD8"/>
    <w:rsid w:val="006F04DD"/>
    <w:rsid w:val="006F6253"/>
    <w:rsid w:val="007079E7"/>
    <w:rsid w:val="00707B7E"/>
    <w:rsid w:val="00713ED5"/>
    <w:rsid w:val="00750A70"/>
    <w:rsid w:val="008122D3"/>
    <w:rsid w:val="00845AA8"/>
    <w:rsid w:val="008D0B4A"/>
    <w:rsid w:val="008D4645"/>
    <w:rsid w:val="008E77E3"/>
    <w:rsid w:val="009400AA"/>
    <w:rsid w:val="00967E80"/>
    <w:rsid w:val="00AD096D"/>
    <w:rsid w:val="00AE44A6"/>
    <w:rsid w:val="00C32DF4"/>
    <w:rsid w:val="00C34854"/>
    <w:rsid w:val="00C91FB2"/>
    <w:rsid w:val="00CB2D56"/>
    <w:rsid w:val="00D039EB"/>
    <w:rsid w:val="00D15CD7"/>
    <w:rsid w:val="00D5570D"/>
    <w:rsid w:val="00D637B2"/>
    <w:rsid w:val="00DA6061"/>
    <w:rsid w:val="00DE388F"/>
    <w:rsid w:val="00F25A26"/>
    <w:rsid w:val="00F62887"/>
    <w:rsid w:val="00FA642F"/>
    <w:rsid w:val="00FC0AE0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E7"/>
    <w:rPr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4D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D7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D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73E3"/>
    <w:rPr>
      <w:color w:val="0000FF"/>
      <w:u w:val="single"/>
    </w:rPr>
  </w:style>
  <w:style w:type="character" w:styleId="PageNumber">
    <w:name w:val="page number"/>
    <w:basedOn w:val="DefaultParagraphFont"/>
    <w:rsid w:val="004473E3"/>
  </w:style>
  <w:style w:type="character" w:styleId="FollowedHyperlink">
    <w:name w:val="FollowedHyperlink"/>
    <w:rsid w:val="006F62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B65"/>
    <w:rPr>
      <w:rFonts w:ascii="Tahoma" w:hAnsi="Tahoma" w:cs="Tahoma"/>
      <w:sz w:val="16"/>
      <w:szCs w:val="16"/>
      <w:lang w:val="en-NZ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9E7"/>
    <w:rPr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04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4D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D7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D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473E3"/>
    <w:rPr>
      <w:color w:val="0000FF"/>
      <w:u w:val="single"/>
    </w:rPr>
  </w:style>
  <w:style w:type="character" w:styleId="PageNumber">
    <w:name w:val="page number"/>
    <w:basedOn w:val="DefaultParagraphFont"/>
    <w:rsid w:val="004473E3"/>
  </w:style>
  <w:style w:type="character" w:styleId="FollowedHyperlink">
    <w:name w:val="FollowedHyperlink"/>
    <w:rsid w:val="006F62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B65"/>
    <w:rPr>
      <w:rFonts w:ascii="Tahoma" w:hAnsi="Tahoma" w:cs="Tahoma"/>
      <w:sz w:val="16"/>
      <w:szCs w:val="16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rtsaccess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tsaccess.org.nz/arts-for-all/introducing-arts-for-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saccess.org.nz/arts-for-all/introducing-arts-for-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3828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Ticketing and Seating</vt:lpstr>
    </vt:vector>
  </TitlesOfParts>
  <Company>Arts Access Aotearoa</Company>
  <LinksUpToDate>false</LinksUpToDate>
  <CharactersWithSpaces>4507</CharactersWithSpaces>
  <SharedDoc>false</SharedDoc>
  <HLinks>
    <vt:vector size="18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http://www.artsaccess.org.nz/index.php/arts-and-disability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http://artsaccess.org.nz/arts-for-all/introducing-arts-for-all?src=nav</vt:lpwstr>
      </vt:variant>
      <vt:variant>
        <vt:lpwstr/>
      </vt:variant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mailto:artsadmin@artsaccess.org.nz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Ticketing and Seating</dc:title>
  <dc:creator>Laura Armstrong</dc:creator>
  <cp:lastModifiedBy>Iona Mcnaughton</cp:lastModifiedBy>
  <cp:revision>2</cp:revision>
  <cp:lastPrinted>2009-12-02T00:11:00Z</cp:lastPrinted>
  <dcterms:created xsi:type="dcterms:W3CDTF">2015-01-14T04:06:00Z</dcterms:created>
  <dcterms:modified xsi:type="dcterms:W3CDTF">2015-01-14T04:06:00Z</dcterms:modified>
</cp:coreProperties>
</file>